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/>
      </w:pPr>
      <w:r>
        <w:rPr>
          <w:b/>
          <w:bCs/>
          <w:sz w:val="28"/>
          <w:szCs w:val="28"/>
          <w:u w:val="single"/>
        </w:rPr>
        <w:t>EDITAL DE CHAMAMENTO PÚBLICO PARA DOAÇÃO DE BENS MÓVEIS INSERVÍVEIS E/OU DESNECESSÁRIOS N°001/2021 - CCP</w:t>
      </w:r>
      <w:r>
        <w:rPr>
          <w:b/>
          <w:bCs/>
          <w:sz w:val="28"/>
          <w:szCs w:val="28"/>
          <w:u w:val="none"/>
        </w:rPr>
        <w:t>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O ESTADO DO PARANÁ, por intermédio da Secretaria da Segurança Pública, com sede na Rua Deputado Mário de Barros nº 1290, Ed. Caetano Munhoz da Rocha - Centro Cívico - CEP-80530-280, Curitiba/PR, inscrito no CNPJ sob o n°:76.416.932/0001-81, representado pelo Secretário Sr. Rômulo Marinho Soares, torna público o procedimento de doação de bens móveis inservíveis ou desnecessários da Casa de Custódia de Piraquara, acervos pertencente a Unidade Penal CCP/DEPEN de Piraquara, constante no Protocolo Administrativo n° 17.635.457-7 , em atendimento às disposições da Lei Estadual n° 5406 de 05 de outubro de 1966, Lei Estadual n° 7.967, de 30 de novembro de1984, da Lei Estadual n° 15.608, de 16 de Agosto de 2007, Decreto Estadual n°4.336, de 25 de fevereiro de2009, Decreto Estadual n°8561 de 21 de dezembro de 2017 e Decreto Estadual nº 8955 de 2018, e será obedecido os seguintes critérios: 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1. DOS BENS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>1.1. Os bens móveis que trata este Edital foram declarados inservíveis ou desnecessários pela Comissão de Inservibilidade designada pela Portaria n° 006 de 21 de janeiro de 2021, por não mais atenderem às finalidades públicas desta unidade penal, após avaliação foram considerados inservíveis, por exaustão, ociosidade ou antieconômicos e serão doados para fins de interesses sociais, conforme Termo de Inservibilidade constante do protocolo nº 17.621.152-0. Esses bens permanentes embora inservíveis para a CCP, poderá ser útil e reaproveitado por Órgãos, Organizações ou Entidades, seja reciclando, reaproveitando partes ou mesmo pela sua transformação, além da necessidade de desocupar espaços por eles usados e dar baixar no acervo já inutilizado pela Casa de Custódia de Piraquara.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1.2. As aquisições dos bens patrimoniais da CCP, são oriunda de compra e também doações, alavancados por convênios federais, estaduais, municipais, organizações civis e entidades, razão pela qual esta unidade penal pautou também pela doação desses patrimônios já inutilizados para seu uso.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1.3. A relação completa do Lote de bens inservíveis e/ou desnecessários a serem doados encontra-se na relação de inservíveis da CCP, no ANEXO 1 protocolado neste Edital de Chamamento Publico, também fixado no mural institucional e publicado no endereço eletrônico a seguir: &lt;e http://www.depen.pr.gov.br, no link Chamamento Publico doação de bens inservíveis.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2. DOS PARTICIPANTES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2.1. Os bens inservíveis e/ou desnecessários somente poderão ser doados, para fins de interesse social, a órgãos e entidades da administração direta, autárquica ou fundacional da União, de Estados ou de Municípios e Organizações da Sociedade Civil sem fins lucrativos. 2.1.1. Não poderão participar da presente seleção as empresas públicas e sociedades de economia mista, ainda que caracterizadas como estatais não dependentes ou prestadoras de serviços públicos.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2.2. Constituem pressupostos para a participação da presente seleção: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2.2.1. Quando se tratar de órgãos ou entidades da administração direta, autárquica ou fundacional da União, de Estados ou de Município: a) exposição de motivos, firmada pelo representante legal do órgão ou entidade, justificando a necessidade do bem pretendido; b) comprovação da lei de criação ou autorização de criação do órgão ou entidade, bem como do ato de investidura de seu representante legal; c) prova de inscrição no cadastro de pessoas jurídicas; d) prova de regularidade com a fazenda federal, estadual e municipal do domicílio ou sede, ou outra equivalente, bem como de regularidade para com a Fazenda do Estado do Paraná, no que couber; e) prova de regularidade relativa à Seguridade Social e ao FGTS; f) prova de regularidade perante a Justiça do Trabalho; g) certidão liberatória expedida pelo Tribunal de Contas do Estado do Paraná; Parágrafo primeiro. As exigências indicadas nas alíneas “d”, “e” e “f” não se aplicam a órgãos estaduais da Administração Direta. Parágrafo segundo. As fundações públicas que possuam natureza jurídica de direito privado ficam também sujeitas ao disposto na alínea “a” do item 2.2.2.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2.2.2. Quando se tratar de organizações da sociedade civil, além das exigências constantes das alíneas “a”, “c”,“d”, “e”, “f” e “g” do item 2.2.1, exigem-se as seguintes: a) certidão de existência jurídica expedida pelo cartório de registro civil ou cópia do estatuto registrado e de eventuais alterações; b) prova de inscrição no órgão estadual competente; c) previsão de que, em caso de dissolução da organização, o respectivo patrimônio líquido será transferido a outra pessoa jurídica de igual natureza que preencha os requisitos desta Lei e cujo objeto social seja, preferencialmente, o mesmo da entidade extinta; d) declaração de que a entidade mantém escrituração de acordo com os princípios fundamentais de contabilidade e com as Normas Brasileiras de Contabilidade; e) no mínimo dois anos de existência, com cadastro ativo, comprovados por meio de documentação emitida pela Secretaria da Receita Federal do Brasil, com base no Cadastro Nacional da Pessoa Jurídica – CNPJ; f) cópia da ata de eleição do quadro dirigente atual; g) relação nominal atualizada dos dirigentes da entidade, com endereço, número e órgão expedidor da carteira de identidade e número de registro no Cadastro de Pessoas Físicas -CPF da Secretaria da Receita Federal do Brasil -RFB de cada um deles; h) comprovação de que a organização da sociedade civil funciona no endereço por ela declarado; atestado de que a entidade está prestando atendimento gratuito e que seus dirigentes não recebem remuneração a qualquer título.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 DO PROCEDIMENTO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3.1. Os órgãos e entidades interessados poderão agendar horário com o Setor de Patrimônio para visita prévia dos bens. O agendamento poderá ser solicitado pelo telefone (41) 3589-8332 ou pelo e-mail: 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eliandrom@depen.pr.gov.br</w:t>
        </w:r>
      </w:hyperlink>
      <w:r>
        <w:rPr>
          <w:rFonts w:cs="Arial" w:ascii="Arial" w:hAnsi="Arial"/>
          <w:sz w:val="22"/>
          <w:szCs w:val="22"/>
        </w:rPr>
        <w:t>, realizando-se as inspeções de 2ª a 6ª feiras, no horário das 09h às 11:00h e das14h às16h.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3.2. As entidades e órgãos interessados deverão encaminhar suas solicitações, no período de 28 de junho à 02 de julho de 2021, dirigidas à Comissão de Procedimentos Patrimoniais da Casa de Custódia de Piraquara, com endereço Rua Isidio Alves Ribeiro, nº 2500 – Planta Meireles - CEP 83.315-970, Piraquara – Paraná,, de segunda a sexta-feira, das 09 h às 11:30 h e das 14 h às 16 h, no DIAF, conforme ANEXO II.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 A solicitação do órgão ou entidade deverá conter a qualificação do solicitante, o lote de bens, a finalidade a que os bens serão destinados, a identificação da pessoa que detenha poderes para a continuidade do ato de recebimento, bem como a comprovação de atendimento das exigências indicadas nos itens 2.2.1 ou 2.2.2.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3.3.1. Em nenhuma hipótese a entidade ou órgão interessado poderá manifestar interesse na doação de bens avulsos, isto é, desconsiderando o lote indicado no ANEXO deste Edital. 3.4. A ausência de apresentação de uma finalidade social para a destinação dos bens e demais documentos acarretará na desclassificação do órgão ou entidade solicitante.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3.5. Havendo mais de um órgão ou entidade interessado nos bens, o atendimento será feito na seguinte ordem:                                                                                                                                      a) Órgão ou entidade Administração Pública Estadual direta, autárquica ou fundacional do Estado do Paraná;                                                                                                                                                  b) Órgãos ou entidades da Administração Pública direta, autárquica ou fundacional dos demais entes federativos, sem distinção entre si;                                                                                                         c) Organizações da Sociedade Civil.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3.6. Findo o prazo para manifestação dos interessados, a ordem de classificação será publicada em até 3 (três)dias úteis no Diário Oficial do Estado do Paraná e disponibilizada em igual prazo no web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site </w:t>
      </w:r>
      <w:hyperlink r:id="rId3">
        <w:r>
          <w:rPr>
            <w:rStyle w:val="LinkdaInternet"/>
            <w:rFonts w:cs="Arial" w:ascii="Arial" w:hAnsi="Arial"/>
            <w:sz w:val="22"/>
            <w:szCs w:val="22"/>
          </w:rPr>
          <w:t>http://www.depen.pr.gov.br</w:t>
        </w:r>
      </w:hyperlink>
      <w:r>
        <w:rPr>
          <w:rFonts w:cs="Arial" w:ascii="Arial" w:hAnsi="Arial"/>
          <w:sz w:val="22"/>
          <w:szCs w:val="22"/>
        </w:rPr>
        <w:t xml:space="preserve">, no link </w:t>
      </w:r>
      <w:hyperlink r:id="rId4">
        <w:r>
          <w:rPr>
            <w:rStyle w:val="LinkdaInternet"/>
            <w:rFonts w:cs="Arial" w:ascii="Arial" w:hAnsi="Arial"/>
            <w:sz w:val="22"/>
            <w:szCs w:val="22"/>
          </w:rPr>
          <w:t>Edital de chamamento Público doações de bens inservíveis</w:t>
        </w:r>
      </w:hyperlink>
      <w:r>
        <w:rPr>
          <w:rFonts w:cs="Arial" w:ascii="Arial" w:hAnsi="Arial"/>
          <w:sz w:val="22"/>
          <w:szCs w:val="22"/>
        </w:rPr>
        <w:t>, conforme ANEXO III.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3.7. Caso haja igualdade nas condições dos interessados, e respeitada a ordem de classificação publicada nos termos do item 3.6, será adotado o critério de sorteio pelo DEPEN/PR, a ser efetivado em sessão pública com data, horário e local agendados e publicados no Diário Oficial do Estado do Paraná e no web site &lt;http://www.depen.pr.gov.br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3.7.1. O resultado do sorteio será publicado nos meios de comunicação indicados no item 3.7 em até 3 (três)dias úteis a contar da data da sessão pública, conforme ANEXO IV.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3.8. Após a definição do beneficiário, o Titular da Secretaria de Estado da Segurança Pública tomará as providências administrativas para a formalização da doação, nos termos do Decreto Estadual nº 4.336/2009.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3.9. Autorizada a doação, as despesas com carregamento e transporte dos bens serão de inteira responsabilidade do beneficiário, assim como eventuais danos a terceiros ocorridos durante o carregamento ou transporte.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3.10. A retirada dos bens deverá ser efetuada pelo contemplado, em horário a ser previamente agendado junto a divisão administrativa e financeira da Casa de Custódia de Piraquara e ser realizada impreterivelmente no prazo de até 10 (dez) dias úteis a contar da assinatura do Termo de Doação de Bens Inservíveis e/ou desnecessários, conforme modelo no ANEXO V, sob pena de o material ser oferecido a outro órgão ou entidade, respeitada a ordem de classificação.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3.11. Os materiais que não puderem ser aproveitados de alguma forma pelo destinatário, ou apresentarem algum risco ao meio ambiente, deverão ser descartados pelo mesmo com a observância da legislação aplicável, a fim de que não haja agressão ao meio ambiente.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4. DAS DISPOSIÇÕES GERAIS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 O presente Edital poderá ser impugnado por qualquer participante, interessado ou cidadão no prazo de até 5 (cinco) dias úteis da publicação do instrumento na imprensa oficial.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4.2. Os participantes poderão interpor recurso administrativo sem efeito suspensivo contra os atos de classificação e de sorteio, no prazo de até 5 (cinco) dias úteis de sua publicação na imprensa oficial.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4.3. A Comissão de Procedimentos Patrimoniais da CCP deverá analisar e emitir decisão sobre o teor da impugnação ao Edital e dos recursos administrativos em até 5 (cinco) dias úteis da data do respectivo protocolo.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4.4. A Comissão de Procedimentos Patrimoniais da Casa de Custódia de Piraquara será responsável pela prática dos atos procedimentais que não caibam expressamente à Titular da Pasta, bem como pela resolução dos casos omissos.</w:t>
      </w:r>
    </w:p>
    <w:p>
      <w:pPr>
        <w:pStyle w:val="Normal"/>
        <w:tabs>
          <w:tab w:val="left" w:pos="2835" w:leader="none"/>
          <w:tab w:val="left" w:pos="5954" w:leader="none"/>
        </w:tabs>
        <w:spacing w:lineRule="auto" w:line="360"/>
        <w:jc w:val="both"/>
        <w:rPr>
          <w:rFonts w:ascii="Calibri" w:hAnsi="Calibri"/>
        </w:rPr>
      </w:pPr>
      <w:r>
        <w:rPr>
          <w:rFonts w:cs="Arial" w:ascii="Arial" w:hAnsi="Arial"/>
          <w:sz w:val="22"/>
          <w:szCs w:val="22"/>
        </w:rPr>
        <w:t>Curitiba, 07 de maio de 2021.</w:t>
      </w:r>
    </w:p>
    <w:p>
      <w:pPr>
        <w:pStyle w:val="CM2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M2"/>
        <w:jc w:val="center"/>
        <w:rPr>
          <w:rFonts w:ascii="Times New Roman" w:hAnsi="Times New Roman"/>
        </w:rPr>
      </w:pPr>
      <w:r>
        <w:rPr>
          <w:rFonts w:ascii="Calibri" w:hAnsi="Calibri"/>
          <w:b/>
          <w:bCs/>
        </w:rPr>
        <w:t>Coronel Rômulo Marinho Soares</w:t>
      </w:r>
    </w:p>
    <w:p>
      <w:pPr>
        <w:pStyle w:val="CM2"/>
        <w:jc w:val="center"/>
        <w:rPr>
          <w:rFonts w:ascii="Times New Roman" w:hAnsi="Times New Roman"/>
        </w:rPr>
      </w:pPr>
      <w:r>
        <w:rPr>
          <w:rFonts w:ascii="Calibri" w:hAnsi="Calibri"/>
        </w:rPr>
        <w:t>Secretário de Estado da Segurança Pública e Administração Penitenciária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17" w:right="907" w:header="397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4092" w:leader="none"/>
        <w:tab w:val="center" w:pos="4252" w:leader="none"/>
        <w:tab w:val="right" w:pos="850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numPr>
        <w:ilvl w:val="0"/>
        <w:numId w:val="2"/>
      </w:numPr>
      <w:tabs>
        <w:tab w:val="left" w:pos="2835" w:leader="none"/>
      </w:tabs>
      <w:jc w:val="right"/>
      <w:rPr>
        <w:rFonts w:ascii="Arial" w:hAnsi="Arial" w:cs="Arial"/>
        <w:sz w:val="20"/>
      </w:rPr>
    </w:pPr>
    <w:r>
      <w:rPr>
        <w:rFonts w:cs="Arial" w:ascii="Arial" w:hAnsi="Arial"/>
        <w:sz w:val="20"/>
      </w:rPr>
      <w:drawing>
        <wp:anchor behindDoc="1" distT="0" distB="0" distL="18415" distR="6985" simplePos="0" locked="0" layoutInCell="1" allowOverlap="1" relativeHeight="6">
          <wp:simplePos x="0" y="0"/>
          <wp:positionH relativeFrom="column">
            <wp:posOffset>5150485</wp:posOffset>
          </wp:positionH>
          <wp:positionV relativeFrom="paragraph">
            <wp:posOffset>59055</wp:posOffset>
          </wp:positionV>
          <wp:extent cx="678815" cy="82613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14" t="-1741" r="-2114" b="-174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8415" distR="0" simplePos="0" locked="0" layoutInCell="1" allowOverlap="1" relativeHeight="11">
          <wp:simplePos x="0" y="0"/>
          <wp:positionH relativeFrom="column">
            <wp:posOffset>205105</wp:posOffset>
          </wp:positionH>
          <wp:positionV relativeFrom="paragraph">
            <wp:posOffset>111125</wp:posOffset>
          </wp:positionV>
          <wp:extent cx="801370" cy="801370"/>
          <wp:effectExtent l="0" t="0" r="0" b="0"/>
          <wp:wrapSquare wrapText="largest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76" t="-776" r="-776" b="-776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"/>
      <w:numPr>
        <w:ilvl w:val="0"/>
        <w:numId w:val="0"/>
      </w:numPr>
      <w:ind w:left="1417" w:right="1134" w:hanging="0"/>
      <w:jc w:val="center"/>
      <w:rPr/>
    </w:pPr>
    <w:r>
      <w:rPr>
        <w:rFonts w:cs="Arial" w:ascii="Arial" w:hAnsi="Arial"/>
        <w:sz w:val="22"/>
        <w:szCs w:val="22"/>
      </w:rPr>
      <w:t xml:space="preserve">SECRETARIA DE ESTADO DA SEGURANÇA PÚBLICA </w:t>
    </w:r>
  </w:p>
  <w:p>
    <w:pPr>
      <w:pStyle w:val="Ttulo1"/>
      <w:numPr>
        <w:ilvl w:val="0"/>
        <w:numId w:val="2"/>
      </w:numPr>
      <w:ind w:left="1417" w:right="1134" w:hanging="0"/>
      <w:jc w:val="center"/>
      <w:rPr>
        <w:b/>
        <w:b/>
        <w:bCs/>
        <w:sz w:val="18"/>
        <w:szCs w:val="18"/>
      </w:rPr>
    </w:pPr>
    <w:r>
      <w:rPr>
        <w:rFonts w:cs="Arial" w:ascii="Arial" w:hAnsi="Arial"/>
        <w:b/>
        <w:bCs/>
        <w:sz w:val="21"/>
        <w:szCs w:val="21"/>
      </w:rPr>
      <w:t>DEPARTAMENTO PENITENCIÁRIO</w:t>
    </w:r>
    <w:r>
      <w:rPr>
        <w:rFonts w:cs="Arial" w:ascii="Arial" w:hAnsi="Arial"/>
        <w:b/>
        <w:bCs/>
        <w:sz w:val="18"/>
        <w:szCs w:val="18"/>
      </w:rPr>
      <w:t xml:space="preserve"> </w:t>
    </w:r>
  </w:p>
  <w:p>
    <w:pPr>
      <w:pStyle w:val="Ttulo1"/>
      <w:numPr>
        <w:ilvl w:val="0"/>
        <w:numId w:val="2"/>
      </w:numPr>
      <w:tabs>
        <w:tab w:val="left" w:pos="2835" w:leader="none"/>
      </w:tabs>
      <w:ind w:left="1417" w:right="1134" w:hanging="0"/>
      <w:jc w:val="center"/>
      <w:rPr>
        <w:rFonts w:ascii="Arial" w:hAnsi="Arial" w:eastAsia="Times New Roman" w:cs="Arial"/>
        <w:b/>
        <w:b/>
        <w:bCs/>
        <w:color w:val="00000A"/>
        <w:kern w:val="2"/>
        <w:sz w:val="18"/>
        <w:szCs w:val="18"/>
        <w:lang w:eastAsia="zh-CN"/>
      </w:rPr>
    </w:pPr>
    <w:r>
      <w:rPr>
        <w:rFonts w:eastAsia="Times New Roman" w:cs="Arial" w:ascii="Arial" w:hAnsi="Arial"/>
        <w:b/>
        <w:bCs/>
        <w:color w:val="00000A"/>
        <w:kern w:val="2"/>
        <w:sz w:val="18"/>
        <w:szCs w:val="18"/>
        <w:lang w:eastAsia="zh-CN"/>
      </w:rPr>
      <w:t>CASA DE CUSTÓDIA DE CURITIBA</w:t>
    </w:r>
  </w:p>
  <w:p>
    <w:pPr>
      <w:pStyle w:val="ListParagraph"/>
      <w:numPr>
        <w:ilvl w:val="0"/>
        <w:numId w:val="2"/>
      </w:numPr>
      <w:jc w:val="center"/>
      <w:rPr>
        <w:sz w:val="18"/>
        <w:szCs w:val="18"/>
      </w:rPr>
    </w:pPr>
    <w:r>
      <w:rPr>
        <w:sz w:val="18"/>
        <w:szCs w:val="18"/>
      </w:rPr>
      <w:t>DIVISÃO ADMINISTRATIVA E FINANCEIRA</w:t>
    </w:r>
  </w:p>
  <w:p>
    <w:pPr>
      <w:pStyle w:val="ListParagraph"/>
      <w:numPr>
        <w:ilvl w:val="0"/>
        <w:numId w:val="2"/>
      </w:numPr>
      <w:jc w:val="center"/>
      <w:rPr>
        <w:sz w:val="18"/>
        <w:szCs w:val="18"/>
      </w:rPr>
    </w:pPr>
    <w:r>
      <w:rPr>
        <w:rFonts w:cs="Arial"/>
        <w:bCs/>
        <w:sz w:val="18"/>
        <w:szCs w:val="18"/>
        <w:highlight w:val="white"/>
      </w:rPr>
      <w:t>Rua Isídio Alves Ribeiro, n° 2.500, Planta Meireles,</w:t>
    </w:r>
    <w:r>
      <w:rPr>
        <w:rFonts w:cs="Arial"/>
        <w:bCs/>
        <w:sz w:val="18"/>
        <w:szCs w:val="18"/>
      </w:rPr>
      <w:t xml:space="preserve"> </w:t>
    </w:r>
  </w:p>
  <w:p>
    <w:pPr>
      <w:pStyle w:val="ListParagraph"/>
      <w:numPr>
        <w:ilvl w:val="0"/>
        <w:numId w:val="2"/>
      </w:numPr>
      <w:jc w:val="center"/>
      <w:rPr>
        <w:sz w:val="18"/>
        <w:szCs w:val="18"/>
      </w:rPr>
    </w:pPr>
    <w:r>
      <w:rPr>
        <w:rFonts w:cs="Arial"/>
        <w:bCs/>
        <w:sz w:val="18"/>
        <w:szCs w:val="18"/>
      </w:rPr>
      <w:t>Piraquara – Paraná, CEP 83.301-970</w:t>
    </w:r>
  </w:p>
  <w:p>
    <w:pPr>
      <w:pStyle w:val="ListParagraph"/>
      <w:numPr>
        <w:ilvl w:val="0"/>
        <w:numId w:val="2"/>
      </w:numPr>
      <w:spacing w:before="0" w:after="200"/>
      <w:contextualSpacing/>
      <w:jc w:val="center"/>
      <w:rPr/>
    </w:pPr>
    <w:r>
      <w:rPr>
        <w:rStyle w:val="LinkdaInternet"/>
      </w:rPr>
      <w:t>Fone (41) 3589-8332 – eliandrom</w:t>
    </w:r>
    <w:hyperlink r:id="rId3">
      <w:r>
        <w:rPr>
          <w:rStyle w:val="LinkdaInternet"/>
        </w:rPr>
        <w:t>@depen.pr.gov.br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5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 w:customStyle="1">
    <w:name w:val="Heading 1"/>
    <w:basedOn w:val="Normal"/>
    <w:next w:val="Normal"/>
    <w:link w:val="Ttulo1Char"/>
    <w:qFormat/>
    <w:rsid w:val="00a11e01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/>
      <w:b/>
      <w:kern w:val="2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e35ae"/>
    <w:rPr/>
  </w:style>
  <w:style w:type="character" w:styleId="RodapChar" w:customStyle="1">
    <w:name w:val="Rodapé Char"/>
    <w:basedOn w:val="DefaultParagraphFont"/>
    <w:uiPriority w:val="99"/>
    <w:qFormat/>
    <w:rsid w:val="008e35a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35ae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86dcc"/>
    <w:rPr>
      <w:color w:val="0000FF" w:themeColor="hyperlink"/>
      <w:u w:val="single"/>
    </w:rPr>
  </w:style>
  <w:style w:type="character" w:styleId="Smbolosdenumerao" w:customStyle="1">
    <w:name w:val="Símbolos de numeração"/>
    <w:qFormat/>
    <w:rsid w:val="008e35ae"/>
    <w:rPr/>
  </w:style>
  <w:style w:type="character" w:styleId="CabealhoChar1" w:customStyle="1">
    <w:name w:val="Cabeçalho Char1"/>
    <w:basedOn w:val="DefaultParagraphFont"/>
    <w:link w:val="Header"/>
    <w:uiPriority w:val="99"/>
    <w:semiHidden/>
    <w:qFormat/>
    <w:rsid w:val="00a11e01"/>
    <w:rPr>
      <w:rFonts w:eastAsia="Times New Roman" w:cs="Times New Roman"/>
      <w:color w:val="00000A"/>
      <w:sz w:val="22"/>
      <w:lang w:eastAsia="pt-BR"/>
    </w:rPr>
  </w:style>
  <w:style w:type="character" w:styleId="RodapChar1" w:customStyle="1">
    <w:name w:val="Rodapé Char1"/>
    <w:basedOn w:val="DefaultParagraphFont"/>
    <w:link w:val="Footer"/>
    <w:uiPriority w:val="99"/>
    <w:semiHidden/>
    <w:qFormat/>
    <w:rsid w:val="00a11e01"/>
    <w:rPr>
      <w:rFonts w:eastAsia="Times New Roman" w:cs="Times New Roman"/>
      <w:color w:val="00000A"/>
      <w:sz w:val="22"/>
      <w:lang w:eastAsia="pt-BR"/>
    </w:rPr>
  </w:style>
  <w:style w:type="character" w:styleId="Ttulo1Char" w:customStyle="1">
    <w:name w:val="Título 1 Char"/>
    <w:basedOn w:val="DefaultParagraphFont"/>
    <w:link w:val="Heading1"/>
    <w:qFormat/>
    <w:rsid w:val="00a11e01"/>
    <w:rPr>
      <w:rFonts w:ascii="Times New Roman" w:hAnsi="Times New Roman" w:eastAsia="Times New Roman" w:cs="Times New Roman"/>
      <w:b/>
      <w:color w:val="00000A"/>
      <w:kern w:val="2"/>
      <w:sz w:val="24"/>
      <w:szCs w:val="20"/>
      <w:lang w:eastAsia="zh-CN"/>
    </w:rPr>
  </w:style>
  <w:style w:type="character" w:styleId="CabealhoChar2" w:customStyle="1">
    <w:name w:val="Cabeçalho Char2"/>
    <w:basedOn w:val="DefaultParagraphFont"/>
    <w:link w:val="Cabealho"/>
    <w:uiPriority w:val="99"/>
    <w:semiHidden/>
    <w:qFormat/>
    <w:rsid w:val="00111a57"/>
    <w:rPr>
      <w:rFonts w:ascii="Calibri" w:hAnsi="Calibri" w:eastAsia="Times New Roman" w:cs="Times New Roman"/>
      <w:color w:val="00000A"/>
      <w:sz w:val="22"/>
      <w:lang w:eastAsia="pt-BR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rsid w:val="00111a57"/>
    <w:rPr>
      <w:rFonts w:ascii="Calibri" w:hAnsi="Calibri" w:eastAsia="Times New Roman" w:cs="Times New Roman"/>
      <w:color w:val="00000A"/>
      <w:sz w:val="22"/>
      <w:lang w:eastAsia="pt-BR"/>
    </w:rPr>
  </w:style>
  <w:style w:type="character" w:styleId="ListLabel1">
    <w:name w:val="ListLabel 1"/>
    <w:qFormat/>
    <w:rPr>
      <w:rFonts w:ascii="Arial" w:hAnsi="Arial" w:cs="Times New Roman"/>
      <w:b/>
      <w:color w:val="000000"/>
      <w:sz w:val="18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Arial" w:hAnsi="Arial" w:cs="Times New Roman"/>
      <w:b/>
      <w:color w:val="000000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8e35ae"/>
    <w:pPr>
      <w:spacing w:lineRule="auto" w:line="288" w:before="0" w:after="140"/>
    </w:pPr>
    <w:rPr/>
  </w:style>
  <w:style w:type="paragraph" w:styleId="Lista">
    <w:name w:val="List"/>
    <w:basedOn w:val="Corpodetexto"/>
    <w:rsid w:val="008e35ae"/>
    <w:pPr/>
    <w:rPr>
      <w:rFonts w:cs="Arial"/>
    </w:rPr>
  </w:style>
  <w:style w:type="paragraph" w:styleId="Legenda" w:customStyle="1">
    <w:name w:val="Caption"/>
    <w:basedOn w:val="Normal"/>
    <w:qFormat/>
    <w:rsid w:val="008e35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e35ae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8e35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2"/>
    <w:uiPriority w:val="99"/>
    <w:semiHidden/>
    <w:unhideWhenUsed/>
    <w:rsid w:val="00111a5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2"/>
    <w:uiPriority w:val="99"/>
    <w:semiHidden/>
    <w:unhideWhenUsed/>
    <w:rsid w:val="00111a5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35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35ae"/>
    <w:pPr>
      <w:widowControl w:val="false"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M11" w:customStyle="1">
    <w:name w:val="CM11"/>
    <w:basedOn w:val="Default"/>
    <w:next w:val="Default"/>
    <w:uiPriority w:val="99"/>
    <w:qFormat/>
    <w:rsid w:val="008e35ae"/>
    <w:pPr/>
    <w:rPr>
      <w:color w:val="00000A"/>
    </w:rPr>
  </w:style>
  <w:style w:type="paragraph" w:styleId="CM2" w:customStyle="1">
    <w:name w:val="CM2"/>
    <w:basedOn w:val="Default"/>
    <w:next w:val="Default"/>
    <w:uiPriority w:val="99"/>
    <w:qFormat/>
    <w:rsid w:val="008e35ae"/>
    <w:pPr>
      <w:spacing w:lineRule="atLeast" w:line="246"/>
    </w:pPr>
    <w:rPr>
      <w:color w:val="00000A"/>
    </w:rPr>
  </w:style>
  <w:style w:type="paragraph" w:styleId="CM12" w:customStyle="1">
    <w:name w:val="CM12"/>
    <w:basedOn w:val="Default"/>
    <w:next w:val="Default"/>
    <w:uiPriority w:val="99"/>
    <w:qFormat/>
    <w:rsid w:val="008e35ae"/>
    <w:pPr/>
    <w:rPr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8e35ae"/>
    <w:pPr>
      <w:spacing w:lineRule="atLeast" w:line="246"/>
    </w:pPr>
    <w:rPr>
      <w:color w:val="00000A"/>
    </w:rPr>
  </w:style>
  <w:style w:type="paragraph" w:styleId="CM15" w:customStyle="1">
    <w:name w:val="CM15"/>
    <w:basedOn w:val="Default"/>
    <w:next w:val="Default"/>
    <w:uiPriority w:val="99"/>
    <w:qFormat/>
    <w:rsid w:val="008e35ae"/>
    <w:pPr/>
    <w:rPr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8e35ae"/>
    <w:pPr>
      <w:spacing w:lineRule="atLeast" w:line="438"/>
    </w:pPr>
    <w:rPr>
      <w:color w:val="00000A"/>
    </w:rPr>
  </w:style>
  <w:style w:type="paragraph" w:styleId="CM5" w:customStyle="1">
    <w:name w:val="CM5"/>
    <w:basedOn w:val="Default"/>
    <w:next w:val="Default"/>
    <w:uiPriority w:val="99"/>
    <w:qFormat/>
    <w:rsid w:val="008e35ae"/>
    <w:pPr>
      <w:spacing w:lineRule="atLeast" w:line="216"/>
    </w:pPr>
    <w:rPr>
      <w:color w:val="00000A"/>
    </w:rPr>
  </w:style>
  <w:style w:type="paragraph" w:styleId="CM16" w:customStyle="1">
    <w:name w:val="CM16"/>
    <w:basedOn w:val="Default"/>
    <w:next w:val="Default"/>
    <w:uiPriority w:val="99"/>
    <w:qFormat/>
    <w:rsid w:val="008e35ae"/>
    <w:pPr/>
    <w:rPr>
      <w:color w:val="00000A"/>
    </w:rPr>
  </w:style>
  <w:style w:type="paragraph" w:styleId="CM14" w:customStyle="1">
    <w:name w:val="CM14"/>
    <w:basedOn w:val="Default"/>
    <w:next w:val="Default"/>
    <w:uiPriority w:val="99"/>
    <w:qFormat/>
    <w:rsid w:val="008e35ae"/>
    <w:pPr/>
    <w:rPr>
      <w:color w:val="00000A"/>
    </w:rPr>
  </w:style>
  <w:style w:type="paragraph" w:styleId="CM6" w:customStyle="1">
    <w:name w:val="CM6"/>
    <w:basedOn w:val="Default"/>
    <w:next w:val="Default"/>
    <w:uiPriority w:val="99"/>
    <w:qFormat/>
    <w:rsid w:val="008e35ae"/>
    <w:pPr>
      <w:spacing w:lineRule="atLeast" w:line="216"/>
    </w:pPr>
    <w:rPr>
      <w:color w:val="00000A"/>
    </w:rPr>
  </w:style>
  <w:style w:type="paragraph" w:styleId="CM18" w:customStyle="1">
    <w:name w:val="CM18"/>
    <w:basedOn w:val="Default"/>
    <w:next w:val="Default"/>
    <w:uiPriority w:val="99"/>
    <w:qFormat/>
    <w:rsid w:val="008e35ae"/>
    <w:pPr/>
    <w:rPr>
      <w:color w:val="00000A"/>
    </w:rPr>
  </w:style>
  <w:style w:type="paragraph" w:styleId="CM7" w:customStyle="1">
    <w:name w:val="CM7"/>
    <w:basedOn w:val="Default"/>
    <w:next w:val="Default"/>
    <w:uiPriority w:val="99"/>
    <w:qFormat/>
    <w:rsid w:val="008e35ae"/>
    <w:pPr>
      <w:spacing w:lineRule="atLeast" w:line="248"/>
    </w:pPr>
    <w:rPr>
      <w:color w:val="00000A"/>
    </w:rPr>
  </w:style>
  <w:style w:type="paragraph" w:styleId="CM17" w:customStyle="1">
    <w:name w:val="CM17"/>
    <w:basedOn w:val="Default"/>
    <w:next w:val="Default"/>
    <w:uiPriority w:val="99"/>
    <w:qFormat/>
    <w:rsid w:val="008e35ae"/>
    <w:pPr/>
    <w:rPr>
      <w:color w:val="00000A"/>
    </w:rPr>
  </w:style>
  <w:style w:type="paragraph" w:styleId="CM19" w:customStyle="1">
    <w:name w:val="CM19"/>
    <w:basedOn w:val="Default"/>
    <w:next w:val="Default"/>
    <w:uiPriority w:val="99"/>
    <w:qFormat/>
    <w:rsid w:val="008e35ae"/>
    <w:pPr/>
    <w:rPr>
      <w:color w:val="00000A"/>
    </w:rPr>
  </w:style>
  <w:style w:type="paragraph" w:styleId="CM10" w:customStyle="1">
    <w:name w:val="CM10"/>
    <w:basedOn w:val="Default"/>
    <w:next w:val="Default"/>
    <w:uiPriority w:val="99"/>
    <w:qFormat/>
    <w:rsid w:val="008e35ae"/>
    <w:pPr>
      <w:spacing w:lineRule="atLeast" w:line="273"/>
    </w:pPr>
    <w:rPr>
      <w:color w:val="00000A"/>
    </w:rPr>
  </w:style>
  <w:style w:type="paragraph" w:styleId="CM13" w:customStyle="1">
    <w:name w:val="CM13"/>
    <w:basedOn w:val="Default"/>
    <w:next w:val="Default"/>
    <w:uiPriority w:val="99"/>
    <w:qFormat/>
    <w:rsid w:val="008e35ae"/>
    <w:pPr/>
    <w:rPr>
      <w:color w:val="00000A"/>
    </w:rPr>
  </w:style>
  <w:style w:type="paragraph" w:styleId="Remetente" w:customStyle="1">
    <w:name w:val="Envelope Return"/>
    <w:basedOn w:val="Normal"/>
    <w:rsid w:val="008e35ae"/>
    <w:pPr>
      <w:suppressLineNumbers/>
    </w:pPr>
    <w:rPr>
      <w:i/>
      <w:iCs/>
    </w:rPr>
  </w:style>
  <w:style w:type="paragraph" w:styleId="Citaes" w:customStyle="1">
    <w:name w:val="Citações"/>
    <w:basedOn w:val="Normal"/>
    <w:qFormat/>
    <w:rsid w:val="00404c9d"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uiPriority w:val="34"/>
    <w:qFormat/>
    <w:rsid w:val="00172b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a@depen.pr.gov.br" TargetMode="External"/><Relationship Id="rId3" Type="http://schemas.openxmlformats.org/officeDocument/2006/relationships/hyperlink" Target="http://www.depen.pr.gov.br/" TargetMode="External"/><Relationship Id="rId4" Type="http://schemas.openxmlformats.org/officeDocument/2006/relationships/hyperlink" Target="file:///C:/Users/marcelojgs/AppData/Local/Temp/Edital de chamamento P&#250;blico doa&#231;&#245;es de bens inserv&#237;vei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ccp.depen@depen.pr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3FAD-D994-4DAD-86F3-E635D42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LibreOffice/5.4.2.2$Windows_X86_64 LibreOffice_project/22b09f6418e8c2d508a9eaf86b2399209b0990f4</Application>
  <Pages>2</Pages>
  <Words>1641</Words>
  <Characters>9031</Characters>
  <CharactersWithSpaces>11024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2021-04-06T14:34:00Z</dcterms:created>
  <dc:creator>DIAF01</dc:creator>
  <dc:description/>
  <dc:language>pt-BR</dc:language>
  <cp:lastModifiedBy/>
  <cp:lastPrinted>2021-04-06T15:27:00Z</cp:lastPrinted>
  <dcterms:modified xsi:type="dcterms:W3CDTF">2021-06-17T10:36:42Z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